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 w:beforeAutospacing="1" w:after="100" w:afterAutospacing="1" w:line="240" w:lineRule="auto"/>
        <w:jc w:val="right"/>
        <w:rPr>
          <w:b/>
          <w:bCs/>
        </w:rPr>
      </w:pPr>
      <w:bookmarkStart w:id="0" w:name="_GoBack"/>
      <w:bookmarkEnd w:id="0"/>
      <w:r>
        <w:rPr>
          <w:b/>
          <w:bCs/>
        </w:rPr>
        <w:t>Anexa nr. 1</w:t>
      </w:r>
    </w:p>
    <w:p>
      <w:pPr>
        <w:spacing w:before="100" w:beforeAutospacing="1" w:after="100" w:afterAutospacing="1" w:line="240" w:lineRule="auto"/>
        <w:jc w:val="center"/>
        <w:rPr>
          <w:b/>
          <w:bCs/>
        </w:rPr>
      </w:pPr>
      <w:r>
        <w:rPr>
          <w:b/>
          <w:bCs/>
        </w:rPr>
        <w:t>PROCEDURA</w:t>
      </w:r>
    </w:p>
    <w:p>
      <w:pPr>
        <w:spacing w:before="100" w:beforeAutospacing="1" w:after="100" w:afterAutospacing="1" w:line="240" w:lineRule="auto"/>
        <w:jc w:val="center"/>
        <w:rPr>
          <w:b/>
          <w:bCs/>
        </w:rPr>
      </w:pPr>
      <w:r>
        <w:t xml:space="preserve">de aplicare a dispozițiilor art. V din Legea nr. 239/2025  </w:t>
      </w:r>
      <w:r>
        <w:rPr>
          <w:szCs w:val="24"/>
        </w:rPr>
        <w:t xml:space="preserve">privind stabilirea unor măsuri de redresare şi eficientizare a resurselor publice şi pentru modificarea şi completarea unor acte normative, cu modificările şi completările ulterioare, </w:t>
      </w:r>
      <w:r>
        <w:t>referitoare la opozabilitatea cesiunii părților sociale față de organul fiscal central și la stabilirea cadrului de colaborare dintre Agenția Națională de Administrare Fiscală și Oficiul   Național al Registrului Comerțului</w:t>
      </w:r>
    </w:p>
    <w:p>
      <w:pPr>
        <w:spacing w:before="0" w:beforeAutospacing="0" w:after="0" w:afterAutospacing="0" w:line="240" w:lineRule="auto"/>
        <w:jc w:val="both"/>
        <w:rPr>
          <w:b/>
          <w:bCs/>
        </w:rPr>
      </w:pPr>
      <w:r>
        <w:rPr>
          <w:b/>
          <w:bCs/>
        </w:rPr>
        <w:t>CAPITOLUL I - Dispoziții generale</w:t>
      </w:r>
    </w:p>
    <w:p>
      <w:pPr>
        <w:spacing w:before="0" w:beforeAutospacing="0" w:after="0" w:afterAutospacing="0" w:line="240" w:lineRule="auto"/>
        <w:jc w:val="both"/>
        <w:rPr>
          <w:b/>
          <w:bCs/>
        </w:rPr>
      </w:pPr>
    </w:p>
    <w:p>
      <w:pPr>
        <w:spacing w:before="0" w:beforeAutospacing="0" w:after="0" w:afterAutospacing="0" w:line="240" w:lineRule="auto"/>
        <w:jc w:val="both"/>
      </w:pPr>
      <w:r>
        <w:rPr>
          <w:b/>
          <w:bCs/>
        </w:rPr>
        <w:t>Art. 1 – Obiectul procedurii</w:t>
      </w:r>
    </w:p>
    <w:p>
      <w:pPr>
        <w:spacing w:before="0" w:beforeAutospacing="0" w:after="0" w:afterAutospacing="0" w:line="240" w:lineRule="auto"/>
        <w:jc w:val="both"/>
      </w:pPr>
      <w:r>
        <w:t>(1) Prezenta procedură are ca obiect stabilirea cadrului procedural unitar pentru aplicarea dispozițiilor art. V din Legea nr. 239/2025 privind stabilirea unor măsuri de redresare și eficientizare a resurselor publice și pentru modificarea și completarea unor acte normative, cu modificările și completările ulterioare, în ceea ce privește opozabilitatea față de organul fiscal central a cesiunii părților sociale ale asociatului unei societăți cu răspundere limitată.</w:t>
      </w:r>
    </w:p>
    <w:p>
      <w:pPr>
        <w:spacing w:before="0" w:beforeAutospacing="0" w:after="0" w:afterAutospacing="0" w:line="240" w:lineRule="auto"/>
        <w:jc w:val="both"/>
      </w:pPr>
      <w:r>
        <w:t>(2) Procedura reglementează, în limitele competențelor legale ale autorităților implicate, etapele administrative, fluxurile instituționale și responsabilitățile corespunzătoare necesare verificării condițiilor legale de opozabilitate a cesiunii părților sociale, precum și cadrul de colaborare dintre Agenția Națională de Administrare Fiscală și Oficiul Național al Registrului Comerțului.</w:t>
      </w:r>
    </w:p>
    <w:p>
      <w:pPr>
        <w:spacing w:before="0" w:beforeAutospacing="0" w:after="0" w:afterAutospacing="0" w:line="240" w:lineRule="auto"/>
        <w:jc w:val="both"/>
        <w:rPr>
          <w:b/>
          <w:bCs/>
        </w:rPr>
      </w:pPr>
      <w:r>
        <w:t xml:space="preserve">(3) Procedura se aplică cesiunilor de părți sociale realizate de un asociat al unei societăți cu răspundere limitată, </w:t>
      </w:r>
      <w:r>
        <w:rPr>
          <w:i/>
        </w:rPr>
        <w:t>denumită în continuare societate</w:t>
      </w:r>
      <w:r>
        <w:t>, pentru care sunt incidente dispozițiile art. V din Legea nr. 239/2025, cu modificările și completările ulterioare.</w:t>
      </w:r>
    </w:p>
    <w:p>
      <w:pPr>
        <w:spacing w:before="0" w:beforeAutospacing="0" w:after="0" w:afterAutospacing="0" w:line="240" w:lineRule="auto"/>
        <w:jc w:val="both"/>
      </w:pPr>
      <w:r>
        <w:rPr>
          <w:b/>
          <w:bCs/>
        </w:rPr>
        <w:t>Art. 2 – Delimitarea competențelor instituționale</w:t>
      </w:r>
    </w:p>
    <w:p>
      <w:pPr>
        <w:spacing w:before="0" w:beforeAutospacing="0" w:after="0" w:afterAutospacing="0" w:line="240" w:lineRule="auto"/>
        <w:jc w:val="both"/>
      </w:pPr>
      <w:r>
        <w:t>(1) Agenția Națională de Administrare Fiscală, prin organul fiscal central competent, exercită atribuțiile privind analiza situației fiscale a societății, verificarea existenței/inexistenței obligațiilor fiscale/bugetare restante, determinarea cuantumului acestora, precum și constituirea, acceptarea, administrarea, eliberarea și, după caz, valorificarea garanțiilor prevăzute de lege.</w:t>
      </w:r>
    </w:p>
    <w:p>
      <w:pPr>
        <w:spacing w:before="0" w:beforeAutospacing="0" w:after="0" w:afterAutospacing="0" w:line="240" w:lineRule="auto"/>
        <w:jc w:val="both"/>
      </w:pPr>
      <w:r>
        <w:t>(2) Oficiul Național al Registrului Comerțului exercită atribuțiile privind verificarea îndeplinirii condițiilor de opozabilitate a cesiunii părților sociale, la înregistrarea acesteia în registrul comerțului, pe baza certificatului de atestare fiscală comunicat de Agenția Națională de Administrare Fiscală.</w:t>
      </w:r>
    </w:p>
    <w:p>
      <w:pPr>
        <w:spacing w:before="0" w:beforeAutospacing="0" w:after="0" w:afterAutospacing="0" w:line="240" w:lineRule="auto"/>
        <w:jc w:val="both"/>
      </w:pPr>
    </w:p>
    <w:p>
      <w:pPr>
        <w:spacing w:before="0" w:beforeAutospacing="0" w:after="0" w:afterAutospacing="0" w:line="240" w:lineRule="auto"/>
        <w:jc w:val="both"/>
        <w:rPr>
          <w:b/>
          <w:bCs/>
        </w:rPr>
      </w:pPr>
      <w:r>
        <w:rPr>
          <w:b/>
          <w:bCs/>
        </w:rPr>
        <w:t xml:space="preserve"> CAPITOLUL II - Inițierea procedurii și notificarea organului fiscal central</w:t>
      </w:r>
    </w:p>
    <w:p>
      <w:pPr>
        <w:spacing w:before="0" w:beforeAutospacing="0" w:after="0" w:afterAutospacing="0" w:line="240" w:lineRule="auto"/>
        <w:jc w:val="both"/>
        <w:rPr>
          <w:b/>
          <w:bCs/>
        </w:rPr>
      </w:pPr>
    </w:p>
    <w:p>
      <w:pPr>
        <w:spacing w:before="0" w:beforeAutospacing="0" w:after="0" w:afterAutospacing="0" w:line="240" w:lineRule="auto"/>
        <w:jc w:val="both"/>
      </w:pPr>
      <w:r>
        <w:rPr>
          <w:b/>
          <w:bCs/>
        </w:rPr>
        <w:t>Art. 3 – Obligația de notificare</w:t>
      </w:r>
      <w:r>
        <w:t>(1) În termen de 15 zile de la data cesiunii părților sociale, societatea, cedentul sau cesionarul depune Notificarea prevăzută în Anexa nr. 2 la ordin, la organul fiscal central competent, potrivit art. V alin. (1) lit. a) din Legea nr. 239/2025, cu modificările și completările ulterioare.</w:t>
      </w:r>
    </w:p>
    <w:p>
      <w:pPr>
        <w:numPr>
          <w:ilvl w:val="0"/>
          <w:numId w:val="1"/>
        </w:numPr>
        <w:spacing w:before="0" w:beforeAutospacing="0" w:after="0" w:afterAutospacing="0" w:line="240" w:lineRule="auto"/>
        <w:jc w:val="both"/>
      </w:pPr>
      <w:r>
        <w:t>Notificarea are caracter obligatoriu și reprezintă o condiție procedurală necesară pentru analizarea îndeplinirii cerințelor de opozabilitate prevăzute de lege.</w:t>
      </w:r>
    </w:p>
    <w:p>
      <w:pPr>
        <w:numPr>
          <w:numId w:val="0"/>
        </w:numPr>
        <w:spacing w:before="0" w:beforeAutospacing="0" w:after="0" w:afterAutospacing="0" w:line="240" w:lineRule="auto"/>
        <w:jc w:val="both"/>
      </w:pPr>
    </w:p>
    <w:p>
      <w:pPr>
        <w:adjustRightInd/>
        <w:spacing w:before="0" w:beforeAutospacing="0" w:after="0" w:afterAutospacing="0" w:line="240" w:lineRule="auto"/>
        <w:jc w:val="both"/>
        <w:rPr>
          <w:b/>
          <w:bCs/>
        </w:rPr>
      </w:pPr>
      <w:r>
        <w:rPr>
          <w:b/>
          <w:bCs/>
        </w:rPr>
        <w:t>Art. 4 – Modalitatea de comunicare a notificării, anexele acesteia și consecințele neîndeplinirii obligației de notificare</w:t>
      </w:r>
    </w:p>
    <w:p>
      <w:pPr>
        <w:adjustRightInd/>
        <w:spacing w:before="0" w:beforeAutospacing="0" w:after="0" w:afterAutospacing="0" w:line="240" w:lineRule="auto"/>
        <w:jc w:val="both"/>
      </w:pPr>
      <w:r>
        <w:t>(1) Notificarea se depune la organul fiscal central competent prin următoarele modalități:</w:t>
      </w:r>
    </w:p>
    <w:p>
      <w:pPr>
        <w:autoSpaceDE w:val="0"/>
        <w:autoSpaceDN w:val="0"/>
        <w:adjustRightInd w:val="0"/>
        <w:spacing w:after="0" w:line="240" w:lineRule="auto"/>
        <w:jc w:val="both"/>
      </w:pPr>
      <w:r>
        <w:t xml:space="preserve">    a) la registratura organului fiscal;</w:t>
      </w:r>
    </w:p>
    <w:p>
      <w:pPr>
        <w:autoSpaceDE w:val="0"/>
        <w:autoSpaceDN w:val="0"/>
        <w:adjustRightInd w:val="0"/>
        <w:spacing w:after="0" w:line="240" w:lineRule="auto"/>
        <w:jc w:val="both"/>
      </w:pPr>
      <w:r>
        <w:t xml:space="preserve">    b) prin poştă, cu confirmare de primire;</w:t>
      </w:r>
    </w:p>
    <w:p>
      <w:pPr>
        <w:autoSpaceDE w:val="0"/>
        <w:autoSpaceDN w:val="0"/>
        <w:adjustRightInd w:val="0"/>
        <w:spacing w:after="0" w:line="240" w:lineRule="auto"/>
        <w:jc w:val="both"/>
      </w:pPr>
      <w:r>
        <w:t xml:space="preserve">    c) prin intermediul serviciului "Spaţiu privat virtual".</w:t>
      </w:r>
    </w:p>
    <w:p>
      <w:pPr>
        <w:autoSpaceDE w:val="0"/>
        <w:autoSpaceDN w:val="0"/>
        <w:adjustRightInd w:val="0"/>
        <w:spacing w:after="0" w:line="240" w:lineRule="auto"/>
        <w:jc w:val="both"/>
      </w:pPr>
    </w:p>
    <w:p>
      <w:pPr>
        <w:autoSpaceDE w:val="0"/>
        <w:autoSpaceDN w:val="0"/>
        <w:adjustRightInd w:val="0"/>
        <w:spacing w:after="0" w:line="240" w:lineRule="auto"/>
        <w:jc w:val="both"/>
      </w:pPr>
      <w:r>
        <w:t>(2) Notificarea prevăzută la alin. (1) este însoțiță  de documentele prevăzute de lege, respectiv actul de transmitere a părților sociale și actul constitutiv actualizat, din care să rezulte structura capitalului social ulterior cesiunii.</w:t>
      </w:r>
    </w:p>
    <w:p>
      <w:pPr>
        <w:autoSpaceDE w:val="0"/>
        <w:autoSpaceDN w:val="0"/>
        <w:adjustRightInd w:val="0"/>
        <w:spacing w:after="0" w:line="240" w:lineRule="auto"/>
        <w:jc w:val="both"/>
      </w:pPr>
      <w:r>
        <w:t>(3) Înregistrarea notificării la organul fiscal central competent determină declanșarea procedurii de analiză a situației fiscale a societății, verificarea existenței/inexistenței obligațiilor fiscale/bugetare restante și determinarea cuantumului acestora.</w:t>
      </w:r>
    </w:p>
    <w:p>
      <w:pPr>
        <w:spacing w:before="0" w:beforeAutospacing="0" w:after="0" w:afterAutospacing="0" w:line="240" w:lineRule="auto"/>
        <w:jc w:val="both"/>
      </w:pPr>
      <w:r>
        <w:t xml:space="preserve"> (4) În cazul în care documentele anexate notificării sunt incomplete sau prezintă neclarități privind cesiunea, organul fiscal central poate solicita completări sau clarificări, în condițiile Legii nr. 207/2015 privind Codul de procedură fiscală, cu modificările și completările ulterioare.</w:t>
      </w:r>
    </w:p>
    <w:p>
      <w:pPr>
        <w:spacing w:before="0" w:beforeAutospacing="0" w:after="0" w:afterAutospacing="0" w:line="240" w:lineRule="auto"/>
        <w:jc w:val="both"/>
      </w:pPr>
    </w:p>
    <w:p>
      <w:pPr>
        <w:spacing w:before="0" w:beforeAutospacing="0" w:after="0" w:afterAutospacing="0" w:line="240" w:lineRule="auto"/>
        <w:jc w:val="both"/>
        <w:rPr>
          <w:b/>
          <w:bCs/>
        </w:rPr>
      </w:pPr>
      <w:r>
        <w:rPr>
          <w:b/>
          <w:bCs/>
        </w:rPr>
        <w:t>CAPITOLUL III - Analiza situației fiscale a societății</w:t>
      </w:r>
      <w:r>
        <w:t xml:space="preserve">, </w:t>
      </w:r>
      <w:r>
        <w:rPr>
          <w:b/>
        </w:rPr>
        <w:t>verificarea existenței/inexistenței obligațiilor fiscale/bugetare restante și determinarea cuantumului acestora</w:t>
      </w:r>
      <w:r>
        <w:rPr>
          <w:b/>
          <w:bCs/>
        </w:rPr>
        <w:t xml:space="preserve"> </w:t>
      </w:r>
    </w:p>
    <w:p>
      <w:pPr>
        <w:spacing w:before="0" w:beforeAutospacing="0" w:after="0" w:afterAutospacing="0" w:line="240" w:lineRule="auto"/>
        <w:jc w:val="both"/>
        <w:rPr>
          <w:b/>
          <w:bCs/>
        </w:rPr>
      </w:pPr>
    </w:p>
    <w:p>
      <w:pPr>
        <w:spacing w:before="0" w:beforeAutospacing="0" w:after="0" w:afterAutospacing="0" w:line="240" w:lineRule="auto"/>
        <w:jc w:val="both"/>
      </w:pPr>
      <w:r>
        <w:rPr>
          <w:b/>
          <w:bCs/>
        </w:rPr>
        <w:t>Art. 5 – Obiectul analizei fiscale și eliberarea certificatului de atestare fiscală</w:t>
      </w:r>
    </w:p>
    <w:p>
      <w:pPr>
        <w:spacing w:before="0" w:beforeAutospacing="0" w:after="0" w:afterAutospacing="0" w:line="240" w:lineRule="auto"/>
        <w:jc w:val="both"/>
      </w:pPr>
      <w:r>
        <w:t>(1) Analiza situației fiscale a societății se realizează ca urmare a depunerii notificării prevăzută la art.3 alin. (2), pe baza datelor cuprinse în evidenţa creanţelor fiscale a organului fiscal central competent și are ca obiect determinarea existenței/inexistenței obligațiilor fiscale/bugetare, precum și a cuantumului acestora.</w:t>
      </w:r>
    </w:p>
    <w:p>
      <w:pPr>
        <w:spacing w:before="0" w:beforeAutospacing="0" w:after="0" w:afterAutospacing="0" w:line="240" w:lineRule="auto"/>
        <w:jc w:val="both"/>
        <w:rPr>
          <w:b/>
          <w:bCs/>
        </w:rPr>
      </w:pPr>
      <w:r>
        <w:t>(2) În urma analizei prevăzută la alin. (1) organul fiscal central competent eliberează, în termen de 3 zile lucrătoare de la data depunerii notificării, un certificat de atestare fiscală, care se comunică, după caz, societății, cedentului sau cesionarului.</w:t>
      </w:r>
    </w:p>
    <w:p>
      <w:pPr>
        <w:autoSpaceDE w:val="0"/>
        <w:autoSpaceDN w:val="0"/>
        <w:adjustRightInd w:val="0"/>
        <w:spacing w:after="0" w:line="240" w:lineRule="auto"/>
        <w:jc w:val="both"/>
      </w:pPr>
      <w:r>
        <w:rPr>
          <w:bCs/>
        </w:rPr>
        <w:t>(3) Prin excepție de la p</w:t>
      </w:r>
      <w:r>
        <w:t>revederile art.6 alin. (2) din Ordinul președintelui Agenției naționale de Administrare Fiscală nr. 3654/2015 privind aprobarea procedurii de eliberare a certificatului de atestare fiscală, a certificatului de obligaţii bugetare, precum şi a modelului şi conţinutului acestora, cu modificările și completările ulterioare, certificatul de atestare fiscală cuprinde obligaţiile fiscale restante, precum şi alte creanţe bugetare individualizate în titluri executorii emise potrivit legii şi existente în evidenţa organului fiscal central în vederea recuperării, existente în sold la data eliberării acestuia, celelalte dispoziții aplicându-se în mod corespunzător. Modelul certificatului de atestare fiscală este prevăzut în Anexa nr. 3 la ordin.</w:t>
      </w:r>
    </w:p>
    <w:p>
      <w:pPr>
        <w:spacing w:before="0" w:beforeAutospacing="0" w:after="0" w:afterAutospacing="0" w:line="240" w:lineRule="auto"/>
        <w:jc w:val="both"/>
      </w:pPr>
      <w:r>
        <w:t xml:space="preserve"> (4) În situația în care, în certificatul de atestare fiscală nu sunt cuprinse obligații fiscale/bugetare restante, condiția prevăzută la art. V alin. (1) lit. b) din Legea nr. 239/2025, cu modificările și completările ulterioare, se consideră îndeplinită, în sensul că nu există obligația constituirii de garanții.</w:t>
      </w:r>
    </w:p>
    <w:p>
      <w:pPr>
        <w:spacing w:before="0" w:beforeAutospacing="0" w:after="0" w:afterAutospacing="0" w:line="240" w:lineRule="auto"/>
        <w:jc w:val="both"/>
      </w:pPr>
      <w:r>
        <w:t xml:space="preserve">(5) În situația în care, în certificatul de atestare fiscală sunt cuprinse obligații fiscale/bugetare restante, societatea sau cesionarul constituite garanții potrivit art. 211 lit. a) și/sau b) din Legea nr. 207/2015 privind Codul de procedură fiscală, cu modificările și completările ulterioare, care să acopere valoarea obligațiilor fiscale/bugetare restante cuprinse în acesta, cu excepția cazului în care obligațiile fiscale/bugetare restante înscrise în certificatul de atestare fiscală au fost stinse. </w:t>
      </w:r>
    </w:p>
    <w:p>
      <w:pPr>
        <w:spacing w:before="0" w:beforeAutospacing="0" w:after="0" w:afterAutospacing="0" w:line="240" w:lineRule="auto"/>
        <w:jc w:val="both"/>
      </w:pPr>
      <w:r>
        <w:t>(6) Dovada constituirii garanției potrivit art. 211 lit. a) și/sau b) din Legea nr. 207/2015 privind Codul de procedură fiscală, cu modificările și completările ulterioare, se depune în original la organul fiscal competent în administrarea creanțelor societății.</w:t>
      </w:r>
    </w:p>
    <w:p>
      <w:pPr>
        <w:spacing w:before="0" w:beforeAutospacing="0" w:after="0" w:afterAutospacing="0" w:line="240" w:lineRule="auto"/>
        <w:jc w:val="both"/>
      </w:pPr>
    </w:p>
    <w:p>
      <w:pPr>
        <w:spacing w:before="0" w:beforeAutospacing="0" w:after="0" w:afterAutospacing="0" w:line="240" w:lineRule="auto"/>
        <w:jc w:val="both"/>
        <w:rPr>
          <w:b/>
          <w:bCs/>
        </w:rPr>
      </w:pPr>
      <w:r>
        <w:rPr>
          <w:b/>
        </w:rPr>
        <w:t xml:space="preserve">CAPITOLUL IV - Înregistrarea cesiunii în </w:t>
      </w:r>
      <w:r>
        <w:rPr>
          <w:b/>
          <w:bCs/>
        </w:rPr>
        <w:t xml:space="preserve"> registrul comerțului</w:t>
      </w:r>
    </w:p>
    <w:p>
      <w:pPr>
        <w:spacing w:before="0" w:beforeAutospacing="0" w:after="0" w:afterAutospacing="0" w:line="240" w:lineRule="auto"/>
        <w:jc w:val="both"/>
        <w:rPr>
          <w:b/>
          <w:bCs/>
        </w:rPr>
      </w:pPr>
    </w:p>
    <w:p>
      <w:pPr>
        <w:spacing w:before="0" w:beforeAutospacing="0" w:after="0" w:afterAutospacing="0" w:line="240" w:lineRule="auto"/>
        <w:jc w:val="both"/>
        <w:rPr>
          <w:b/>
          <w:bCs/>
        </w:rPr>
      </w:pPr>
      <w:r>
        <w:rPr>
          <w:b/>
          <w:bCs/>
        </w:rPr>
        <w:t>Art. 6 – Soluționarea cererii de înregistrare la Oficiul Național al Registrului Comerțului</w:t>
      </w:r>
    </w:p>
    <w:p>
      <w:pPr>
        <w:numPr>
          <w:ilvl w:val="0"/>
          <w:numId w:val="2"/>
        </w:numPr>
        <w:spacing w:before="0" w:beforeAutospacing="0" w:after="0" w:afterAutospacing="0" w:line="240" w:lineRule="auto"/>
        <w:jc w:val="both"/>
      </w:pPr>
      <w:r>
        <w:t>În aplicarea prevederilor art. V alin. (3) din Legea nr. 239/2025, cu modificările și completările ulterioare, la înregistrarea cesiunii în registrul comerțului, Oficiul Național al Registrului Comerțului  solicită organului fiscal central competent, eliberarea certificatului de atestare fiscală în condițiile art. 70</w:t>
      </w:r>
      <w:r>
        <w:rPr>
          <w:vertAlign w:val="superscript"/>
        </w:rPr>
        <w:t>1</w:t>
      </w:r>
      <w:r>
        <w:t xml:space="preserve"> din Legea nr. 207/2015 privind Codul de procedură fiscală, cu modificările și completările ulterioare, care va cuprinde şi menţiunea faptului că organul fiscal a fost notificat potrivit art. V alin. (1) lit. a) din Legea nr. 239/2025, cu modificările şi completările ulterioare .</w:t>
      </w:r>
    </w:p>
    <w:p>
      <w:pPr>
        <w:spacing w:before="0" w:beforeAutospacing="0" w:after="0" w:afterAutospacing="0" w:line="240" w:lineRule="auto"/>
        <w:jc w:val="both"/>
      </w:pPr>
      <w:r>
        <w:t>(2) În situația în care în certificatul de atestare fiscală nu sunt înscrise obligații fiscale/bugetare restante, Oficiul Național al Registrului Comerțului soluționează cererea de înregistrare a cesiunii părților sociale, în condițiile legii, fără a fi necesar acordul organului fiscal central privind constituirea de garanții.</w:t>
      </w:r>
    </w:p>
    <w:p>
      <w:pPr>
        <w:spacing w:before="0" w:beforeAutospacing="0" w:after="0" w:afterAutospacing="0" w:line="240" w:lineRule="auto"/>
        <w:jc w:val="both"/>
      </w:pPr>
      <w:r>
        <w:t>(3) În situația în care în certificatul de atestare fiscală sunt înscrise obligații fiscale/bugetare restante, înregistrarea cesiunii părților sociale în registrul comerțului este condiționată de acordul organului fiscal central cu privire la constituirea garanțiilor. În acest caz, certificatul de atestare fiscală emis de organul fiscal central competent, cuprinde, pe lângă menţiunea prevăzută la alin. (1), şi</w:t>
      </w:r>
      <w:r>
        <w:rPr>
          <w:rFonts w:hint="default"/>
          <w:lang w:val="en-US"/>
        </w:rPr>
        <w:t xml:space="preserve"> </w:t>
      </w:r>
      <w:r>
        <w:t>acordul organului fiscal cu privire la constituirea garanțiilor la nivelul obligațiilor fiscale/bugetare restante.</w:t>
      </w:r>
    </w:p>
    <w:p>
      <w:pPr>
        <w:spacing w:before="0" w:beforeAutospacing="0" w:after="0" w:afterAutospacing="0" w:line="240" w:lineRule="auto"/>
        <w:jc w:val="both"/>
      </w:pPr>
      <w:r>
        <w:t>(4) În cazul în care între data constituirii garanției și data eliberării certificatului de atestare fiscală solicitat de către Oficiul Național al Registrului Comerțului se nasc noi obligații fiscale/bugetare restante, societatea sau cesionarul suplimentează garanțiile sau achită noile obligații fiscale/bugetare restante. În acest scop, Oficiul Național al Registrului Comerțului va acorda, prin încheiere, un singur termen de completare a documentației în susținerea cererii de înregistrare la împlinirea căruia solicită Agenția Națională de Administrare Fiscală eliberarea certificatului de atestare fiscală cu  acordul prevăzut la alin. (3).</w:t>
      </w:r>
    </w:p>
    <w:p>
      <w:pPr>
        <w:spacing w:before="0" w:beforeAutospacing="0" w:after="0" w:afterAutospacing="0" w:line="240" w:lineRule="auto"/>
        <w:jc w:val="both"/>
      </w:pPr>
    </w:p>
    <w:p>
      <w:pPr>
        <w:spacing w:before="0" w:beforeAutospacing="0" w:after="0" w:afterAutospacing="0" w:line="240" w:lineRule="auto"/>
        <w:jc w:val="both"/>
        <w:rPr>
          <w:b/>
          <w:bCs/>
        </w:rPr>
      </w:pPr>
      <w:r>
        <w:rPr>
          <w:b/>
          <w:bCs/>
        </w:rPr>
        <w:t>CAPITOLUL V- Administrarea, menținerea, valorificarea și eliberarea garanțiilor</w:t>
      </w:r>
    </w:p>
    <w:p>
      <w:pPr>
        <w:spacing w:before="0" w:beforeAutospacing="0" w:after="0" w:afterAutospacing="0" w:line="240" w:lineRule="auto"/>
        <w:jc w:val="both"/>
        <w:rPr>
          <w:b/>
          <w:bCs/>
        </w:rPr>
      </w:pPr>
    </w:p>
    <w:p>
      <w:pPr>
        <w:spacing w:before="0" w:beforeAutospacing="0" w:after="0" w:afterAutospacing="0" w:line="240" w:lineRule="auto"/>
        <w:jc w:val="both"/>
      </w:pPr>
      <w:r>
        <w:rPr>
          <w:b/>
          <w:bCs/>
        </w:rPr>
        <w:t>Art. 7 – Administrarea garanțiilor</w:t>
      </w:r>
    </w:p>
    <w:p>
      <w:pPr>
        <w:spacing w:before="0" w:beforeAutospacing="0" w:after="0" w:afterAutospacing="0" w:line="240" w:lineRule="auto"/>
        <w:jc w:val="both"/>
      </w:pPr>
      <w:r>
        <w:t>(1) Administrarea garanțiilor constituite în temeiul art. V alin. (1) lit. b) din Legea nr. 239/2025, cu modificările și completările ulterioare, revine exclusiv organului fiscal central competent din cadrul Agenției Naționale de Administrare Fiscală, prin structurile cu atribuții în materie de colectare și executare silită.</w:t>
      </w:r>
    </w:p>
    <w:p>
      <w:pPr>
        <w:spacing w:before="0" w:beforeAutospacing="0" w:after="0" w:afterAutospacing="0" w:line="240" w:lineRule="auto"/>
        <w:jc w:val="both"/>
      </w:pPr>
      <w:r>
        <w:t>(2) În exercitarea atribuțiilor prevăzute la alin. (1), organul fiscal central competent asigură evidența, monitorizarea și menținerea valabilității garanțiilor pe întreaga durată în care acestea subzistă potrivit legii.</w:t>
      </w:r>
    </w:p>
    <w:p>
      <w:pPr>
        <w:spacing w:before="0" w:beforeAutospacing="0" w:after="0" w:afterAutospacing="0" w:line="240" w:lineRule="auto"/>
        <w:jc w:val="both"/>
      </w:pPr>
    </w:p>
    <w:p>
      <w:pPr>
        <w:spacing w:before="0" w:beforeAutospacing="0" w:after="0" w:afterAutospacing="0" w:line="240" w:lineRule="auto"/>
        <w:jc w:val="both"/>
      </w:pPr>
      <w:r>
        <w:rPr>
          <w:b/>
          <w:bCs/>
        </w:rPr>
        <w:t>Art. 8  Menținerea garanțiilor</w:t>
      </w:r>
    </w:p>
    <w:p>
      <w:pPr>
        <w:spacing w:before="0" w:beforeAutospacing="0" w:after="0" w:afterAutospacing="0" w:line="240" w:lineRule="auto"/>
        <w:jc w:val="both"/>
      </w:pPr>
      <w:r>
        <w:t>Garanțiile constituite în condițiile prezentei proceduri se mențin până la stingerea integrală a obligațiilor fiscale/bugetare înscrise în certificatul de atestare fiscală.</w:t>
      </w:r>
    </w:p>
    <w:p>
      <w:pPr>
        <w:spacing w:before="0" w:beforeAutospacing="0" w:after="0" w:afterAutospacing="0" w:line="240" w:lineRule="auto"/>
        <w:jc w:val="both"/>
      </w:pPr>
    </w:p>
    <w:p>
      <w:pPr>
        <w:spacing w:before="0" w:beforeAutospacing="0" w:after="0" w:afterAutospacing="0" w:line="240" w:lineRule="auto"/>
        <w:jc w:val="both"/>
      </w:pPr>
      <w:r>
        <w:rPr>
          <w:b/>
          <w:bCs/>
        </w:rPr>
        <w:t>Art. 9 Termenul de stingere a obligațiilor fiscale</w:t>
      </w:r>
    </w:p>
    <w:p>
      <w:pPr>
        <w:spacing w:before="0" w:beforeAutospacing="0" w:after="0" w:afterAutospacing="0" w:line="240" w:lineRule="auto"/>
        <w:jc w:val="both"/>
      </w:pPr>
      <w:r>
        <w:t>(1) În situația în care obligațiile fiscale/bugetare înscrise în certificatul de atestare fiscală nu se sting în termen de 60 de zile de la data înregistrării cesiunii părților sociale în registrul comerțului, garanțiile constituite se execută de către organul fiscal central, în condițiile art. V alin. (4) teza a doua din Legea nr. 239/2025, cu modificările și completările ulterioare.</w:t>
      </w:r>
    </w:p>
    <w:p>
      <w:pPr>
        <w:spacing w:before="0" w:beforeAutospacing="0" w:after="0" w:afterAutospacing="0" w:line="240" w:lineRule="auto"/>
        <w:jc w:val="both"/>
        <w:rPr>
          <w:rFonts w:hint="default"/>
        </w:rPr>
      </w:pPr>
      <w:r>
        <w:t>(2) Termenul prevăzut la alin. (1) are caracter imperativ și nu poate fi suspendat sau prorogat prin voința părților</w:t>
      </w:r>
      <w:r>
        <w:rPr>
          <w:rFonts w:hint="default"/>
        </w:rPr>
        <w:t>.</w:t>
      </w:r>
    </w:p>
    <w:p>
      <w:pPr>
        <w:spacing w:before="0" w:beforeAutospacing="0" w:after="0" w:afterAutospacing="0" w:line="240" w:lineRule="auto"/>
        <w:jc w:val="both"/>
        <w:rPr>
          <w:rFonts w:hint="default"/>
        </w:rPr>
      </w:pPr>
    </w:p>
    <w:p>
      <w:pPr>
        <w:spacing w:before="0" w:beforeAutospacing="0" w:after="0" w:afterAutospacing="0" w:line="240" w:lineRule="auto"/>
        <w:jc w:val="both"/>
        <w:rPr>
          <w:b/>
          <w:bCs/>
        </w:rPr>
      </w:pPr>
      <w:r>
        <w:rPr>
          <w:b/>
          <w:bCs/>
        </w:rPr>
        <w:t>Art. 10 Valorificarea garanțiilor</w:t>
      </w:r>
    </w:p>
    <w:p>
      <w:pPr>
        <w:spacing w:before="0" w:beforeAutospacing="0" w:after="0" w:afterAutospacing="0" w:line="240" w:lineRule="auto"/>
        <w:jc w:val="both"/>
      </w:pPr>
      <w:r>
        <w:t xml:space="preserve">(1) În situația prevăzută la art. 9 alin. (1), organul fiscal central competent procedează la valorificarea garanțiilor constituite, potrivit dispozițiilor art. 212 din Legea nr. 207/2015 privind Codul de procedură fiscală, cu modificările și completările ulterioare . </w:t>
      </w:r>
    </w:p>
    <w:p>
      <w:pPr>
        <w:spacing w:before="0" w:beforeAutospacing="0" w:after="0" w:afterAutospacing="0" w:line="240" w:lineRule="auto"/>
        <w:jc w:val="both"/>
      </w:pPr>
      <w:r>
        <w:t>(2) La împlinirea termenului de 60 de zile de la data înregistrării cesiunii, valorificarea garanțiilor se realizează de către structura de executare silită din cadrul organului fiscal central competent aflat în subordinea Agenției Naționale de Administrare Fiscală, fără a fi necesară îndeplinirea altor formalități prealabile.</w:t>
      </w:r>
    </w:p>
    <w:p>
      <w:pPr>
        <w:spacing w:before="0" w:beforeAutospacing="0" w:after="0" w:afterAutospacing="0" w:line="240" w:lineRule="auto"/>
        <w:jc w:val="both"/>
      </w:pPr>
    </w:p>
    <w:p>
      <w:pPr>
        <w:spacing w:before="0" w:beforeAutospacing="0" w:after="0" w:afterAutospacing="0" w:line="240" w:lineRule="auto"/>
        <w:jc w:val="both"/>
      </w:pPr>
      <w:r>
        <w:rPr>
          <w:b/>
          <w:bCs/>
        </w:rPr>
        <w:t>Art. 11 Eliberarea garanțiilor</w:t>
      </w:r>
    </w:p>
    <w:p>
      <w:pPr>
        <w:spacing w:before="0" w:beforeAutospacing="0" w:after="0" w:afterAutospacing="0" w:line="240" w:lineRule="auto"/>
        <w:jc w:val="both"/>
      </w:pPr>
      <w:r>
        <w:t>(1) Garanțiile constituite potrivit prezentei proceduri se eliberează de către organul fiscal central competent la data stingerii integrale a obligațiilor fiscale/bugetare înscrise în certificatul de atestare fiscală.</w:t>
      </w:r>
    </w:p>
    <w:p>
      <w:pPr>
        <w:spacing w:before="0" w:beforeAutospacing="0" w:after="0" w:afterAutospacing="0" w:line="240" w:lineRule="auto"/>
        <w:jc w:val="both"/>
      </w:pPr>
      <w:r>
        <w:t>(2) Eliberarea garanțiilor se dispune prin act administrativ emis de organul fiscal central competent și se comunică persoanelor interesate, în condițiile Legii nr. 207/2015 privind Codul de procedură fiscală, cu modificările și completările ulterioare.</w:t>
      </w:r>
    </w:p>
    <w:p>
      <w:pPr>
        <w:spacing w:before="0" w:beforeAutospacing="0" w:after="0" w:afterAutospacing="0" w:line="240" w:lineRule="auto"/>
        <w:jc w:val="both"/>
        <w:rPr>
          <w:b/>
          <w:bCs/>
        </w:rPr>
      </w:pPr>
    </w:p>
    <w:p>
      <w:pPr>
        <w:spacing w:before="0" w:beforeAutospacing="0" w:after="0" w:afterAutospacing="0" w:line="240" w:lineRule="auto"/>
        <w:jc w:val="both"/>
        <w:rPr>
          <w:b/>
          <w:bCs/>
        </w:rPr>
      </w:pPr>
      <w:r>
        <w:rPr>
          <w:b/>
          <w:bCs/>
        </w:rPr>
        <w:t>CAPITOLUL VI - Colaborarea instituțională și schimbul de informații între Agenția Națională de Administrare Fiscală și Oficiul Național al Registrului Comerțului</w:t>
      </w:r>
    </w:p>
    <w:p>
      <w:pPr>
        <w:spacing w:before="0" w:beforeAutospacing="0" w:after="0" w:afterAutospacing="0" w:line="240" w:lineRule="auto"/>
        <w:jc w:val="both"/>
        <w:rPr>
          <w:b/>
          <w:bCs/>
        </w:rPr>
      </w:pPr>
    </w:p>
    <w:p>
      <w:pPr>
        <w:spacing w:before="0" w:beforeAutospacing="0" w:after="0" w:afterAutospacing="0" w:line="240" w:lineRule="auto"/>
        <w:jc w:val="both"/>
      </w:pPr>
      <w:r>
        <w:rPr>
          <w:b/>
          <w:bCs/>
        </w:rPr>
        <w:t>Art. 12 – Principiul colaborării instituționale</w:t>
      </w:r>
    </w:p>
    <w:p>
      <w:pPr>
        <w:spacing w:before="0" w:beforeAutospacing="0" w:after="0" w:afterAutospacing="0" w:line="240" w:lineRule="auto"/>
        <w:jc w:val="both"/>
      </w:pPr>
      <w:r>
        <w:t>(1) Agenția Națională de Administrare Fiscală și Oficiul Național al Registrului Comerțului colaborează, continuu și operativ în vederea aplicării unitare și eficiente a dispozițiilor art. V din Legea nr. 239/2025, cu modificările și completările ulterioare și ale prezentei proceduri.</w:t>
      </w:r>
    </w:p>
    <w:p>
      <w:pPr>
        <w:spacing w:before="0" w:beforeAutospacing="0" w:after="0" w:afterAutospacing="0" w:line="240" w:lineRule="auto"/>
        <w:jc w:val="both"/>
      </w:pPr>
      <w:r>
        <w:t>(2) Colaborarea instituțională se realizează cu respectarea strictă a competențelor legale proprii fiecărei autorități.</w:t>
      </w:r>
    </w:p>
    <w:p>
      <w:pPr>
        <w:spacing w:before="0" w:beforeAutospacing="0" w:after="0" w:afterAutospacing="0" w:line="240" w:lineRule="auto"/>
        <w:jc w:val="both"/>
      </w:pPr>
    </w:p>
    <w:p>
      <w:pPr>
        <w:spacing w:before="0" w:beforeAutospacing="0" w:after="0" w:afterAutospacing="0" w:line="240" w:lineRule="auto"/>
        <w:jc w:val="both"/>
      </w:pPr>
      <w:r>
        <w:rPr>
          <w:b/>
          <w:bCs/>
        </w:rPr>
        <w:t>Art. 13 – Caracterul procedurii</w:t>
      </w:r>
    </w:p>
    <w:p>
      <w:pPr>
        <w:spacing w:before="0" w:beforeAutospacing="0" w:after="0" w:afterAutospacing="0" w:line="240" w:lineRule="auto"/>
        <w:jc w:val="both"/>
      </w:pPr>
      <w:r>
        <w:t>Prezenta procedură administrativă, se aplică unitar la nivelul Agenției Naționale de Administrare Fiscală și al Oficiului Național al Registrului Comerțului și este obligatorie pentru structurile implicate în aplicarea dispozițiilor art. V din Legea nr. 239/2025, cu modificările și completările ulterioare.</w:t>
      </w:r>
    </w:p>
    <w:p/>
    <w:sectPr>
      <w:headerReference r:id="rId4" w:type="default"/>
      <w:footerReference r:id="rId5" w:type="default"/>
      <w:pgSz w:w="12240" w:h="15840"/>
      <w:pgMar w:top="720" w:right="1440" w:bottom="120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ptos">
    <w:altName w:val="Calibri"/>
    <w:panose1 w:val="00000000000000000000"/>
    <w:charset w:val="00"/>
    <w:family w:val="auto"/>
    <w:pitch w:val="default"/>
    <w:sig w:usb0="20000287" w:usb1="00000003" w:usb2="00000000" w:usb3="00000000" w:csb0="0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ins w:id="0" w:author="18236916" w:date="2026-06-23T10:48:15Z">
      <w:r>
        <w:rPr>
          <w:rFonts w:ascii="Times New Roman" w:hAnsi="Times New Roman" w:eastAsia="Aptos" w:cs="Times New Roman"/>
          <w:sz w:val="18"/>
          <w:szCs w:val="18"/>
          <w:lang w:val="en-US" w:eastAsia="en-US" w:bidi="ar-SA"/>
        </w:rPr>
        <w:pict>
          <v:shape id="PowerPlusWaterMarkObject22528" o:spid="_x0000_s1025" type="#_x0000_t136" style="position:absolute;left:0;height:142.15pt;width:582.95pt;mso-position-horizontal:center;mso-position-horizontal-relative:margin;mso-position-vertical:center;mso-position-vertical-relative:margin;rotation:20643840f;z-index:-251658240;" o:ole="f" fillcolor="#C0C0C0" filled="t" o:preferrelative="t" stroked="f" coordorigin="0,0" coordsize="21600,21600" adj="10800">
            <v:fill opacity="50%" focus="0%"/>
            <v:imagedata gain="65536f" blacklevel="0f" gamma="0"/>
            <o:lock v:ext="edit" position="f" selection="f" grouping="f" rotation="f" cropping="f" text="f" aspectratio="t"/>
            <v:textpath on="t" fitpath="t" trim="t" xscale="f" string="PROIECT " style="v-text-align:center;font-family:MS Shell Dlg 2;font-size:36pt;"/>
          </v:shape>
        </w:pic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71239513">
    <w:nsid w:val="6992F859"/>
    <w:multiLevelType w:val="singleLevel"/>
    <w:tmpl w:val="6992F859"/>
    <w:lvl w:ilvl="0" w:tentative="1">
      <w:start w:val="1"/>
      <w:numFmt w:val="decimal"/>
      <w:suff w:val="space"/>
      <w:lvlText w:val="(%1)"/>
      <w:lvlJc w:val="left"/>
    </w:lvl>
  </w:abstractNum>
  <w:abstractNum w:abstractNumId="1782115502">
    <w:nsid w:val="6A38ECAE"/>
    <w:multiLevelType w:val="singleLevel"/>
    <w:tmpl w:val="6A38ECAE"/>
    <w:lvl w:ilvl="0" w:tentative="1">
      <w:start w:val="2"/>
      <w:numFmt w:val="decimal"/>
      <w:suff w:val="space"/>
      <w:lvlText w:val="(%1)"/>
      <w:lvlJc w:val="left"/>
    </w:lvl>
  </w:abstractNum>
  <w:num w:numId="1">
    <w:abstractNumId w:val="1782115502"/>
  </w:num>
  <w:num w:numId="2">
    <w:abstractNumId w:val="17712395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drawingGridHorizontalSpacing w:val="0"/>
  <w:displayHorizontalDrawingGridEvery w:val="1"/>
  <w:displayVerticalDrawingGridEvery w:val="1"/>
  <w:characterSpacingControl w:val="doNotCompress"/>
  <w:compat>
    <w:spaceForUL/>
    <w:doNotLeaveBackslashAlone/>
    <w:ulTrailSpace/>
    <w:splitPgBreakAndParaMark/>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spacing w:after="200" w:line="360" w:lineRule="auto"/>
    </w:pPr>
    <w:rPr>
      <w:rFonts w:ascii="Times New Roman" w:hAnsi="Times New Roman" w:eastAsia="Aptos" w:cs="Times New Roman"/>
      <w:sz w:val="24"/>
      <w:szCs w:val="22"/>
      <w:lang w:val="en-US" w:eastAsia="en-US" w:bidi="ar-SA"/>
    </w:rPr>
  </w:style>
  <w:style w:type="character" w:default="1" w:styleId="6">
    <w:name w:val="Default Paragraph Font"/>
    <w:semiHidden/>
    <w:unhideWhenUsed/>
    <w:uiPriority w:val="1"/>
  </w:style>
  <w:style w:type="paragraph" w:styleId="2">
    <w:name w:val="Balloon Text"/>
    <w:basedOn w:val="1"/>
    <w:link w:val="10"/>
    <w:semiHidden/>
    <w:unhideWhenUsed/>
    <w:uiPriority w:val="0"/>
    <w:pPr>
      <w:spacing w:after="0" w:line="240" w:lineRule="auto"/>
    </w:pPr>
    <w:rPr>
      <w:rFonts w:ascii="Segoe UI" w:hAnsi="Segoe UI" w:cs="Segoe UI"/>
      <w:sz w:val="18"/>
      <w:szCs w:val="18"/>
    </w:rPr>
  </w:style>
  <w:style w:type="paragraph" w:styleId="3">
    <w:name w:val="footer"/>
    <w:basedOn w:val="1"/>
    <w:semiHidden/>
    <w:unhideWhenUsed/>
    <w:uiPriority w:val="0"/>
    <w:pPr>
      <w:tabs>
        <w:tab w:val="center" w:pos="4153"/>
        <w:tab w:val="right" w:pos="8306"/>
      </w:tabs>
      <w:snapToGrid w:val="0"/>
      <w:jc w:val="left"/>
    </w:pPr>
    <w:rPr>
      <w:sz w:val="18"/>
      <w:szCs w:val="18"/>
    </w:rPr>
  </w:style>
  <w:style w:type="paragraph" w:styleId="4">
    <w:name w:val="footnote text"/>
    <w:basedOn w:val="1"/>
    <w:link w:val="9"/>
    <w:semiHidden/>
    <w:unhideWhenUsed/>
    <w:uiPriority w:val="0"/>
    <w:rPr>
      <w:sz w:val="20"/>
      <w:szCs w:val="20"/>
    </w:rPr>
  </w:style>
  <w:style w:type="paragraph" w:styleId="5">
    <w:name w:val="header"/>
    <w:basedOn w:val="1"/>
    <w:semiHidden/>
    <w:unhideWhenUsed/>
    <w:uiPriority w:val="0"/>
    <w:pPr>
      <w:tabs>
        <w:tab w:val="center" w:pos="4153"/>
        <w:tab w:val="right" w:pos="8306"/>
      </w:tabs>
      <w:snapToGrid w:val="0"/>
    </w:pPr>
    <w:rPr>
      <w:sz w:val="18"/>
      <w:szCs w:val="18"/>
    </w:rPr>
  </w:style>
  <w:style w:type="character" w:styleId="7">
    <w:name w:val="footnote reference"/>
    <w:semiHidden/>
    <w:unhideWhenUsed/>
    <w:uiPriority w:val="0"/>
    <w:rPr>
      <w:vertAlign w:val="superscript"/>
    </w:rPr>
  </w:style>
  <w:style w:type="paragraph" w:customStyle="1" w:styleId="8">
    <w:name w:val="List Paragraph1"/>
    <w:basedOn w:val="1"/>
    <w:qFormat/>
    <w:uiPriority w:val="34"/>
    <w:pPr>
      <w:ind w:left="720"/>
      <w:contextualSpacing/>
    </w:pPr>
  </w:style>
  <w:style w:type="character" w:customStyle="1" w:styleId="9">
    <w:name w:val="Footnote Text Char"/>
    <w:link w:val="4"/>
    <w:semiHidden/>
    <w:uiPriority w:val="0"/>
    <w:rPr>
      <w:rFonts w:eastAsia="Aptos"/>
      <w:lang w:eastAsia="en-US"/>
    </w:rPr>
  </w:style>
  <w:style w:type="character" w:customStyle="1" w:styleId="10">
    <w:name w:val="Balloon Text Char"/>
    <w:link w:val="2"/>
    <w:semiHidden/>
    <w:uiPriority w:val="0"/>
    <w:rPr>
      <w:rFonts w:ascii="Segoe UI" w:hAnsi="Segoe UI" w:eastAsia="Aptos" w:cs="Segoe UI"/>
      <w:sz w:val="18"/>
      <w:szCs w:val="18"/>
      <w:lang w:eastAsia="en-U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5</Pages>
  <Words>1914</Words>
  <Characters>10910</Characters>
  <Lines>90</Lines>
  <Paragraphs>25</Paragraphs>
  <ScaleCrop>false</ScaleCrop>
  <LinksUpToDate>false</LinksUpToDate>
  <CharactersWithSpaces>0</CharactersWithSpaces>
  <Application>WPS Office_9.1.0.4674_{F1E327BC-269C-435d-A152-05C5408002CA}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2026-02-25T08:36:00Z</dcterms:created>
  <dc:creator>GABI-DANIELA VISALOM</dc:creator>
  <cp:lastModifiedBy>18236916</cp:lastModifiedBy>
  <cp:lastPrinted>2026-02-16T11:25:00Z</cp:lastPrinted>
  <dcterms:modified xsi:type="dcterms:W3CDTF">2026-06-23T07:48:18Z</dcterms:modified>
  <dc:title>ANEXA nr. 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